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C4" w:rsidRDefault="00DF63C4" w:rsidP="00DF63C4">
      <w:pPr>
        <w:tabs>
          <w:tab w:val="left" w:pos="648"/>
        </w:tabs>
        <w:spacing w:after="120" w:line="100" w:lineRule="atLeast"/>
        <w:jc w:val="center"/>
        <w:rPr>
          <w:rFonts w:eastAsia="Lucida Sans Unicode" w:cs="Tahoma"/>
          <w:b/>
          <w:bCs/>
          <w:sz w:val="28"/>
          <w:szCs w:val="28"/>
          <w:lang w:val="pl-PL" w:eastAsia="pl-PL" w:bidi="pl-PL"/>
        </w:rPr>
      </w:pPr>
      <w:r>
        <w:rPr>
          <w:rFonts w:eastAsia="Lucida Sans Unicode" w:cs="Tahoma"/>
          <w:b/>
          <w:bCs/>
          <w:sz w:val="28"/>
          <w:szCs w:val="28"/>
          <w:lang w:val="pl-PL" w:eastAsia="pl-PL" w:bidi="pl-PL"/>
        </w:rPr>
        <w:t xml:space="preserve">Regulamin przetargu nieograniczonego ofertowego </w:t>
      </w:r>
    </w:p>
    <w:p w:rsidR="00DF63C4" w:rsidRDefault="00DF63C4" w:rsidP="00DF63C4">
      <w:pPr>
        <w:spacing w:line="100" w:lineRule="atLeast"/>
        <w:jc w:val="center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b/>
          <w:bCs/>
          <w:sz w:val="28"/>
          <w:szCs w:val="28"/>
          <w:lang w:val="pl-PL" w:eastAsia="pl-PL" w:bidi="pl-PL"/>
        </w:rPr>
        <w:t>na sprzedaż  drewna tartacznego pozyskanego z gruntu położonego w Nowinie.</w:t>
      </w:r>
    </w:p>
    <w:p w:rsidR="00DF63C4" w:rsidRDefault="00DF63C4" w:rsidP="00DF63C4">
      <w:pPr>
        <w:spacing w:line="100" w:lineRule="atLeast"/>
        <w:ind w:left="720"/>
        <w:jc w:val="center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jc w:val="both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1.    Przetarg nieograniczony ofertowy na sprzedaż drewna tartacznego  pozyskanego z gruntu położonego w Nowinie  odbywać się będzie zgodnie z ogłoszeniem.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jc w:val="both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jc w:val="both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2.   Do przeprowadzenia przetargu zobowiązana jest Komisja Przetargowa powołana Zarządzeniem Wójta Gminy.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jc w:val="both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jc w:val="both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3.   Przetarg polegać będzie na wyborze najkorzystniejszej oferty przetargowej.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jc w:val="both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jc w:val="both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4. W przetargu mogą uczestniczyć zarówno osoby fizyczne jak i prawne.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jc w:val="both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jc w:val="both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5.   W przetargu jako oferenci nie mogą uczestniczyć członkowie Komisji, ich małżonkowie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jc w:val="both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oraz  ich dzieci. 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jc w:val="both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numPr>
          <w:ilvl w:val="0"/>
          <w:numId w:val="2"/>
        </w:numPr>
        <w:tabs>
          <w:tab w:val="left" w:pos="2160"/>
          <w:tab w:val="left" w:pos="2880"/>
        </w:tabs>
        <w:ind w:left="360" w:firstLine="0"/>
        <w:jc w:val="both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Przetarg uważa się za ważny, choćby wpłynęła jedna oferta. Oferta może dotyczyć sprzedaży drewna określonego w jednej pozycji podanej w ogłoszeniu lub też  wszystkich. Ofertę uważa się za ważną jeżeli podana cena na dane drewno nie będzie niższa od podanej w ogłoszeniu. Powyższe oznacza, że za ważną uważa się również ofertę z ceną równą cenie wywoławczej.</w:t>
      </w:r>
    </w:p>
    <w:p w:rsidR="00DF63C4" w:rsidRDefault="00DF63C4" w:rsidP="00DF63C4">
      <w:pPr>
        <w:numPr>
          <w:ilvl w:val="0"/>
          <w:numId w:val="2"/>
        </w:numPr>
        <w:tabs>
          <w:tab w:val="left" w:pos="2160"/>
          <w:tab w:val="left" w:pos="2880"/>
        </w:tabs>
        <w:ind w:left="360" w:firstLine="0"/>
        <w:jc w:val="both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Nie dopuszcza się możliwości  składania  ofert wariantowych. Oferta która będzie zawierała wariant  zakupu zostanie odrzucona.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8.    Komisja odrzuca oferty jeżeli: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-   zaoferowana cena jest niższa od ceny wywoławczej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-   oferta nie odpowiada warunkom przetargu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-   została złożona po terminie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-   jest nieczytelna lub budzi wątpliwości co do jej treści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   </w:t>
      </w: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9.  Przetarg składa się z części jawnej i niejawnej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a)  w części jawnej Komisja stwierdza: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      - prawidłowość ogłoszenia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       - nadaje numer poszczególnym ofertom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      - otwiera koperty z ofertami podając do publicznej wiadomości ceny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      - kwalifikuje oferty do części niejawnej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b) w części niejawnej Komisja dokonuje: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      - szczegółowej analizy ofert i wybiera najkorzystniejszą ofertę dla poszczególnej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        pozycji podanej w ogłoszeniu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      - sporządza protokół z przetargu podając w nim rozstrzygnięcia 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10.  Przy wyborze oferty Komisja kieruje się wyłącznie najkorzystniejszą ceną.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11.   Osoba, która wygra przetarg zobowiązana jest do: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a) podpisania umowy w terminie  7 dni od daty wyboru najkorzystniejszej oferty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b) dokonania wpłaty kwoty określonej w  umowie przed odbiorem drewna </w:t>
      </w:r>
    </w:p>
    <w:p w:rsidR="00DF63C4" w:rsidRDefault="00DF63C4" w:rsidP="00DF63C4">
      <w:pPr>
        <w:numPr>
          <w:ilvl w:val="1"/>
          <w:numId w:val="1"/>
        </w:numPr>
        <w:tabs>
          <w:tab w:val="left" w:pos="7200"/>
          <w:tab w:val="left" w:pos="7560"/>
        </w:tabs>
        <w:ind w:left="1800"/>
      </w:pPr>
      <w:r>
        <w:rPr>
          <w:rFonts w:eastAsia="Lucida Sans Unicode" w:cs="Tahoma"/>
          <w:lang w:val="pl-PL" w:eastAsia="pl-PL" w:bidi="pl-PL"/>
        </w:rPr>
        <w:t>odbioru drewna w terminie określonym w umowie</w:t>
      </w:r>
    </w:p>
    <w:p w:rsidR="00DF63C4" w:rsidRDefault="00DF63C4" w:rsidP="00DF63C4">
      <w:pPr>
        <w:tabs>
          <w:tab w:val="left" w:pos="720"/>
          <w:tab w:val="left" w:pos="1440"/>
        </w:tabs>
        <w:jc w:val="center"/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12.   Podstawę do zawarcia umowy stanowi protokół Komisji z przeprowadzonego przetargu.</w:t>
      </w:r>
    </w:p>
    <w:p w:rsidR="00DF63C4" w:rsidRDefault="00DF63C4" w:rsidP="00DF63C4">
      <w:pPr>
        <w:tabs>
          <w:tab w:val="left" w:pos="3600"/>
          <w:tab w:val="left" w:pos="4320"/>
        </w:tabs>
        <w:ind w:left="720"/>
        <w:jc w:val="center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13.    O wyniku przetargu zawiadamia się wszystkich oferentów.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14.   W przypadku uchylenia się przez oferenta od podpisania umowy w określonym w pkt 10 terminie, Gmina może wystawić drewno do ponownego przetargu.</w:t>
      </w:r>
    </w:p>
    <w:p w:rsidR="00DF63C4" w:rsidRDefault="00DF63C4" w:rsidP="00DF63C4">
      <w:pPr>
        <w:tabs>
          <w:tab w:val="left" w:pos="3600"/>
          <w:tab w:val="left" w:pos="4320"/>
        </w:tabs>
        <w:ind w:left="1440"/>
        <w:jc w:val="center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lastRenderedPageBreak/>
        <w:t xml:space="preserve">15.  W przypadku ofert równorzędnych, gdy wybór jest utrudniony, Komisja organizuje dodatkowy przetarg ustny. O terminie i miejscu jego przeprowadzenia powiadamia oferentów z ofertami równoważnymi.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16.   Przetarg ustny ma charakter licytacji. Wygra go osoba, która zaoferuje najwyższą cenę.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tabs>
          <w:tab w:val="left" w:pos="2160"/>
          <w:tab w:val="left" w:pos="2880"/>
        </w:tabs>
        <w:ind w:left="360"/>
        <w:rPr>
          <w:rFonts w:eastAsia="Lucida Sans Unicode" w:cs="Tahoma"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 xml:space="preserve">17.   Protokół z przetargu ustnego podpisują wszyscy członkowie Komisji oraz uczestnicy dodatkowego przetargu- licytacji.   </w:t>
      </w:r>
    </w:p>
    <w:p w:rsidR="00DF63C4" w:rsidRDefault="00DF63C4" w:rsidP="00DF63C4">
      <w:pPr>
        <w:tabs>
          <w:tab w:val="left" w:pos="6480"/>
          <w:tab w:val="left" w:pos="7200"/>
        </w:tabs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ind w:left="72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ind w:left="1440"/>
        <w:rPr>
          <w:rFonts w:eastAsia="Lucida Sans Unicode" w:cs="Tahoma"/>
          <w:lang w:val="pl-PL" w:eastAsia="pl-PL" w:bidi="pl-PL"/>
        </w:rPr>
      </w:pPr>
    </w:p>
    <w:p w:rsidR="00DF63C4" w:rsidRDefault="00DF63C4" w:rsidP="00DF63C4">
      <w:pPr>
        <w:rPr>
          <w:rFonts w:eastAsia="Lucida Sans Unicode" w:cs="Tahoma"/>
          <w:b/>
          <w:bCs/>
          <w:lang w:val="pl-PL" w:eastAsia="pl-PL" w:bidi="pl-PL"/>
        </w:rPr>
      </w:pPr>
      <w:r>
        <w:rPr>
          <w:rFonts w:eastAsia="Lucida Sans Unicode" w:cs="Tahoma"/>
          <w:lang w:val="pl-PL" w:eastAsia="pl-PL" w:bidi="pl-PL"/>
        </w:rPr>
        <w:t>Lubasz, dnia 07 stycznia 2014 r.</w:t>
      </w:r>
    </w:p>
    <w:p w:rsidR="00DF63C4" w:rsidRDefault="00DF63C4" w:rsidP="00DF63C4">
      <w:pPr>
        <w:ind w:left="1440"/>
        <w:rPr>
          <w:rFonts w:eastAsia="Lucida Sans Unicode" w:cs="Tahoma"/>
          <w:b/>
          <w:bCs/>
          <w:lang w:val="pl-PL" w:eastAsia="pl-PL" w:bidi="pl-PL"/>
        </w:rPr>
      </w:pPr>
    </w:p>
    <w:p w:rsidR="00217D8E" w:rsidRDefault="00217D8E">
      <w:bookmarkStart w:id="0" w:name="_GoBack"/>
      <w:bookmarkEnd w:id="0"/>
    </w:p>
    <w:sectPr w:rsidR="00217D8E">
      <w:pgSz w:w="11906" w:h="16838"/>
      <w:pgMar w:top="737" w:right="737" w:bottom="737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C4"/>
    <w:rsid w:val="00217D8E"/>
    <w:rsid w:val="00D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5EAB-F81A-4C4C-B71F-BD49B3C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2015-01-14T12:18:00Z</dcterms:created>
  <dcterms:modified xsi:type="dcterms:W3CDTF">2015-01-14T12:18:00Z</dcterms:modified>
</cp:coreProperties>
</file>